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autoSpaceDE/>
        <w:autoSpaceDN/>
        <w:bidi w:val="0"/>
        <w:snapToGrid/>
        <w:spacing w:line="560" w:lineRule="exact"/>
        <w:jc w:val="center"/>
        <w:textAlignment w:val="auto"/>
        <w:rPr>
          <w:rFonts w:ascii="方正小标宋简体" w:eastAsia="方正小标宋简体"/>
          <w:sz w:val="44"/>
          <w:szCs w:val="32"/>
        </w:rPr>
      </w:pPr>
      <w:r>
        <w:rPr>
          <w:rFonts w:hint="eastAsia" w:ascii="方正小标宋简体" w:eastAsia="方正小标宋简体"/>
          <w:sz w:val="44"/>
          <w:szCs w:val="32"/>
          <w:lang w:eastAsia="zh-CN"/>
        </w:rPr>
        <w:t>武汉东湖新技术开发区市场</w:t>
      </w:r>
      <w:r>
        <w:rPr>
          <w:rFonts w:hint="eastAsia" w:ascii="方正小标宋简体" w:eastAsia="方正小标宋简体"/>
          <w:sz w:val="44"/>
          <w:szCs w:val="32"/>
        </w:rPr>
        <w:t>监督管理局</w:t>
      </w:r>
    </w:p>
    <w:p>
      <w:pPr>
        <w:keepNext w:val="0"/>
        <w:keepLines w:val="0"/>
        <w:pageBreakBefore w:val="0"/>
        <w:widowControl w:val="0"/>
        <w:kinsoku/>
        <w:overflowPunct/>
        <w:autoSpaceDE/>
        <w:autoSpaceDN/>
        <w:bidi w:val="0"/>
        <w:snapToGrid/>
        <w:spacing w:line="560" w:lineRule="exact"/>
        <w:jc w:val="center"/>
        <w:textAlignment w:val="auto"/>
        <w:rPr>
          <w:rFonts w:hint="eastAsia" w:ascii="方正小标宋简体" w:eastAsia="方正小标宋简体"/>
          <w:sz w:val="44"/>
          <w:szCs w:val="32"/>
        </w:rPr>
      </w:pPr>
      <w:r>
        <w:rPr>
          <w:rFonts w:hint="eastAsia" w:ascii="方正小标宋简体" w:eastAsia="方正小标宋简体"/>
          <w:sz w:val="44"/>
          <w:szCs w:val="32"/>
        </w:rPr>
        <w:t>关于不合格食品核查处置情况的通告</w:t>
      </w:r>
    </w:p>
    <w:p>
      <w:pPr>
        <w:keepNext w:val="0"/>
        <w:keepLines w:val="0"/>
        <w:pageBreakBefore w:val="0"/>
        <w:widowControl w:val="0"/>
        <w:kinsoku/>
        <w:overflowPunct/>
        <w:autoSpaceDE/>
        <w:autoSpaceDN/>
        <w:bidi w:val="0"/>
        <w:snapToGrid/>
        <w:spacing w:line="560" w:lineRule="exact"/>
        <w:jc w:val="center"/>
        <w:textAlignment w:val="auto"/>
        <w:rPr>
          <w:rFonts w:hint="eastAsia" w:ascii="方正小标宋简体" w:eastAsia="方正小标宋简体"/>
          <w:sz w:val="44"/>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现将</w:t>
      </w:r>
      <w:r>
        <w:rPr>
          <w:rFonts w:hint="eastAsia" w:eastAsia="仿宋_GB2312"/>
          <w:sz w:val="32"/>
          <w:szCs w:val="32"/>
          <w:lang w:val="en-US" w:eastAsia="zh-CN"/>
        </w:rPr>
        <w:t>报告编号为</w:t>
      </w:r>
      <w:r>
        <w:rPr>
          <w:rFonts w:hint="eastAsia" w:eastAsia="仿宋_GB2312"/>
          <w:sz w:val="32"/>
          <w:szCs w:val="32"/>
        </w:rPr>
        <w:t>XBJ26420142496730062</w:t>
      </w:r>
      <w:r>
        <w:rPr>
          <w:rFonts w:eastAsia="仿宋_GB2312"/>
          <w:sz w:val="32"/>
          <w:szCs w:val="32"/>
        </w:rPr>
        <w:t>不合格食品核查处置情况通告如下：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武汉光天一棠餐饮管理有限责任公司销售的白芷</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抽检基本情况。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b w:val="0"/>
          <w:bCs w:val="0"/>
          <w:sz w:val="32"/>
          <w:szCs w:val="32"/>
          <w:lang w:val="en-US" w:eastAsia="zh-CN"/>
        </w:rPr>
      </w:pPr>
      <w:r>
        <w:rPr>
          <w:rFonts w:hint="eastAsia" w:eastAsia="仿宋_GB2312"/>
          <w:sz w:val="32"/>
          <w:szCs w:val="32"/>
          <w:lang w:val="en-US" w:eastAsia="zh-CN"/>
        </w:rPr>
        <w:t>2026</w:t>
      </w:r>
      <w:r>
        <w:rPr>
          <w:rFonts w:hint="eastAsia" w:eastAsia="仿宋_GB2312"/>
          <w:b w:val="0"/>
          <w:bCs w:val="0"/>
          <w:sz w:val="32"/>
          <w:szCs w:val="32"/>
          <w:lang w:val="en-US" w:eastAsia="zh-CN"/>
        </w:rPr>
        <w:t>年</w:t>
      </w:r>
      <w:bookmarkStart w:id="0" w:name="OLE_LINK1"/>
      <w:r>
        <w:rPr>
          <w:rFonts w:hint="eastAsia" w:eastAsia="仿宋_GB2312"/>
          <w:sz w:val="32"/>
          <w:szCs w:val="32"/>
          <w:lang w:val="en-US" w:eastAsia="zh-CN"/>
        </w:rPr>
        <w:t>4月22日抽自武汉光天一棠餐饮管理有限责任公司销售的白芷，</w:t>
      </w:r>
      <w:bookmarkEnd w:id="0"/>
      <w:r>
        <w:rPr>
          <w:rFonts w:hint="eastAsia" w:eastAsia="仿宋_GB2312"/>
          <w:sz w:val="32"/>
          <w:szCs w:val="32"/>
          <w:lang w:val="en-US" w:eastAsia="zh-CN"/>
        </w:rPr>
        <w:t>二氧化硫残留量项目不符合GB 2760-2024《食品安全国家标准 食品添加剂使用标准》要求</w:t>
      </w:r>
      <w:r>
        <w:rPr>
          <w:rFonts w:hint="eastAsia" w:eastAsia="仿宋_GB2312"/>
          <w:b w:val="0"/>
          <w:bCs w:val="0"/>
          <w:sz w:val="32"/>
          <w:szCs w:val="32"/>
          <w:lang w:val="en-US" w:eastAsia="zh-CN"/>
        </w:rPr>
        <w:t>，检验结论为不合格。</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default"/>
          <w:lang w:val="en-US" w:eastAsia="zh-CN"/>
        </w:rPr>
      </w:pPr>
      <w:r>
        <w:rPr>
          <w:rFonts w:hint="eastAsia" w:ascii="楷体_GB2312" w:hAnsi="楷体_GB2312" w:eastAsia="楷体_GB2312" w:cs="楷体_GB2312"/>
          <w:sz w:val="32"/>
          <w:szCs w:val="32"/>
          <w:lang w:val="en-US" w:eastAsia="zh-CN"/>
        </w:rPr>
        <w:t>（二）对企业违法违规行为依法处罚情况。</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80" w:lineRule="exact"/>
        <w:ind w:firstLine="627" w:firstLineChars="196"/>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经查，当事人经营二氧化硫残留量超过食品安全标准限量白芷的行为违反了《中华人民共和国食品安全法》第三十四条第二项“致病性微生物，农药残留、兽药残留、生物毒素、重金属等污染物质以及其他危害人体健康的物质含量超过食品安全标准限量的食品、食品添加剂、食品相关产品；”的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Times New Roman" w:hAnsi="Times New Roman" w:eastAsia="仿宋_GB2312" w:cs="Times New Roman"/>
          <w:b w:val="0"/>
          <w:bCs w:val="0"/>
          <w:kern w:val="2"/>
          <w:sz w:val="32"/>
          <w:szCs w:val="32"/>
          <w:lang w:val="zh-CN" w:eastAsia="zh-CN" w:bidi="ar-SA"/>
        </w:rPr>
      </w:pPr>
      <w:r>
        <w:rPr>
          <w:rFonts w:hint="eastAsia" w:ascii="Times New Roman" w:hAnsi="Times New Roman" w:eastAsia="仿宋_GB2312" w:cs="Times New Roman"/>
          <w:b w:val="0"/>
          <w:bCs w:val="0"/>
          <w:kern w:val="2"/>
          <w:sz w:val="32"/>
          <w:szCs w:val="32"/>
          <w:lang w:val="en-US" w:eastAsia="zh-CN" w:bidi="ar-SA"/>
        </w:rPr>
        <w:t>当事人采购该批次白芷时查验了供货商的证照材料，检测报告，案发后积极配合调查，主动提供相关凭证、情况说明等证据材料，当时履行了进货查验义务，有充分证据证明其不知道所采购的白芷属不合格产品，能如实说明进货来源。当事人发现问题后立即溯源追责、组织食品安全培训等。当事人符合《中华人民共和国食品安全法》第一百三十六条“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规定的免予处罚情形。</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当事人经营二氧化硫残留量超过食品安全标准限量白芷的行为违反了《中华人民共和国食品安全法》第三十四条第二项“致病性微生物，农药残留、兽药残留、生物毒素、重金属等污染物质以及其他危害人体健康的物质含量超过食品安全标准限量的食品、食品添加剂、食品相关产品；”的规定，鉴于当事人作为食品经营者履行了进货查验义务，</w:t>
      </w:r>
      <w:bookmarkStart w:id="1" w:name="OLE_LINK2"/>
      <w:r>
        <w:rPr>
          <w:rFonts w:hint="eastAsia" w:ascii="Times New Roman" w:hAnsi="Times New Roman" w:eastAsia="仿宋_GB2312" w:cs="Times New Roman"/>
          <w:b w:val="0"/>
          <w:bCs w:val="0"/>
          <w:kern w:val="2"/>
          <w:sz w:val="32"/>
          <w:szCs w:val="32"/>
          <w:lang w:val="en-US" w:eastAsia="zh-CN" w:bidi="ar-SA"/>
        </w:rPr>
        <w:t>有充分证据证明其不知道所采购的白芷属不合格产品，能如实说明进货来源</w:t>
      </w:r>
      <w:bookmarkEnd w:id="1"/>
      <w:r>
        <w:rPr>
          <w:rFonts w:hint="eastAsia" w:ascii="Times New Roman" w:hAnsi="Times New Roman" w:eastAsia="仿宋_GB2312" w:cs="Times New Roman"/>
          <w:b w:val="0"/>
          <w:bCs w:val="0"/>
          <w:kern w:val="2"/>
          <w:sz w:val="32"/>
          <w:szCs w:val="32"/>
          <w:lang w:val="en-US" w:eastAsia="zh-CN" w:bidi="ar-SA"/>
        </w:rPr>
        <w:t>，且涉案批次白芷已使用完，依据《中华人民共和国食品安全法》第一百三十六条“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的规定，我局决定对当事人不予行政处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hint="eastAsia" w:ascii="楷体_GB2312" w:hAnsi="楷体_GB2312" w:eastAsia="楷体_GB2312" w:cs="楷体_GB2312"/>
          <w:sz w:val="32"/>
          <w:szCs w:val="32"/>
          <w:lang w:val="en-US" w:eastAsia="zh-CN"/>
        </w:rPr>
        <w:t>（三）原因排查及整改情况。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b w:val="0"/>
          <w:bCs w:val="0"/>
          <w:sz w:val="32"/>
          <w:szCs w:val="32"/>
          <w:lang w:val="en-US" w:eastAsia="zh-CN"/>
        </w:rPr>
      </w:pPr>
      <w:r>
        <w:rPr>
          <w:rFonts w:hint="eastAsia" w:eastAsia="仿宋_GB2312"/>
          <w:sz w:val="32"/>
          <w:szCs w:val="32"/>
          <w:lang w:eastAsia="zh-CN"/>
        </w:rPr>
        <w:t>我局执法人</w:t>
      </w:r>
      <w:r>
        <w:rPr>
          <w:rFonts w:hint="eastAsia" w:ascii="Times New Roman" w:hAnsi="Times New Roman" w:eastAsia="仿宋_GB2312" w:cs="Times New Roman"/>
          <w:b w:val="0"/>
          <w:bCs w:val="0"/>
          <w:sz w:val="32"/>
          <w:szCs w:val="32"/>
          <w:lang w:val="en-US" w:eastAsia="zh-CN"/>
        </w:rPr>
        <w:t>员对该经营单位进行了全面检查，该单位积极配合调查，如实说明涉案产品来源，提供了</w:t>
      </w:r>
      <w:r>
        <w:rPr>
          <w:rFonts w:hint="eastAsia" w:ascii="仿宋_GB2312" w:hAnsi="仿宋_GB2312" w:eastAsia="仿宋_GB2312" w:cs="仿宋_GB2312"/>
          <w:color w:val="auto"/>
          <w:kern w:val="0"/>
          <w:sz w:val="32"/>
          <w:szCs w:val="32"/>
          <w:lang w:val="en-US" w:eastAsia="zh-CN"/>
        </w:rPr>
        <w:t>供货商的</w:t>
      </w:r>
      <w:r>
        <w:rPr>
          <w:rFonts w:hint="eastAsia" w:eastAsia="仿宋_GB2312"/>
          <w:sz w:val="32"/>
          <w:szCs w:val="32"/>
          <w:lang w:val="en-US" w:eastAsia="zh-CN"/>
        </w:rPr>
        <w:t>《</w:t>
      </w:r>
      <w:r>
        <w:rPr>
          <w:rFonts w:hint="eastAsia" w:ascii="仿宋_GB2312" w:hAnsi="仿宋_GB2312" w:eastAsia="仿宋_GB2312" w:cs="仿宋_GB2312"/>
          <w:color w:val="auto"/>
          <w:kern w:val="0"/>
          <w:sz w:val="32"/>
          <w:szCs w:val="32"/>
          <w:lang w:val="en-US" w:eastAsia="zh-CN"/>
        </w:rPr>
        <w:t>营业执照</w:t>
      </w:r>
      <w:r>
        <w:rPr>
          <w:rFonts w:hint="eastAsia" w:eastAsia="仿宋_GB2312"/>
          <w:sz w:val="32"/>
          <w:szCs w:val="32"/>
          <w:lang w:val="en-US" w:eastAsia="zh-CN"/>
        </w:rPr>
        <w:t>》、</w:t>
      </w:r>
      <w:r>
        <w:rPr>
          <w:rFonts w:hint="eastAsia" w:ascii="仿宋_GB2312" w:hAnsi="仿宋_GB2312" w:eastAsia="仿宋_GB2312" w:cs="仿宋_GB2312"/>
          <w:color w:val="auto"/>
          <w:sz w:val="32"/>
          <w:szCs w:val="32"/>
          <w:lang w:val="en-US" w:eastAsia="zh-CN"/>
        </w:rPr>
        <w:t>进货单、出厂检测报告和情况说明</w:t>
      </w:r>
      <w:r>
        <w:rPr>
          <w:rFonts w:hint="eastAsia" w:ascii="Times New Roman" w:hAnsi="Times New Roman" w:eastAsia="仿宋_GB2312" w:cs="Times New Roman"/>
          <w:b w:val="0"/>
          <w:bCs w:val="0"/>
          <w:sz w:val="32"/>
          <w:szCs w:val="32"/>
          <w:lang w:val="en-US" w:eastAsia="zh-CN"/>
        </w:rPr>
        <w:t>等相关证明文件。针对此次不合格情况，该单位已制定整改措施：</w:t>
      </w:r>
      <w:r>
        <w:rPr>
          <w:rFonts w:hint="eastAsia" w:eastAsia="仿宋_GB2312" w:cs="Times New Roman"/>
          <w:b w:val="0"/>
          <w:bCs w:val="0"/>
          <w:sz w:val="32"/>
          <w:szCs w:val="32"/>
          <w:lang w:val="en-US" w:eastAsia="zh-CN"/>
        </w:rPr>
        <w:t>一是组织员工培训，学习</w:t>
      </w:r>
      <w:r>
        <w:rPr>
          <w:rFonts w:hint="eastAsia" w:eastAsia="仿宋_GB2312"/>
          <w:sz w:val="32"/>
          <w:szCs w:val="32"/>
          <w:lang w:val="en-US" w:eastAsia="zh-CN"/>
        </w:rPr>
        <w:t>《中华人民共和国食品安全法》等法律法规；二是严把采购质量关，合规合法诚信经营。</w:t>
      </w: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jc w:val="both"/>
        <w:textAlignment w:val="auto"/>
        <w:outlineLvl w:val="9"/>
        <w:rPr>
          <w:rFonts w:hint="eastAsia" w:eastAsia="仿宋_GB2312"/>
          <w:sz w:val="32"/>
          <w:szCs w:val="32"/>
          <w:lang w:val="en-US" w:eastAsia="zh-CN"/>
        </w:rPr>
      </w:pPr>
      <w:r>
        <w:rPr>
          <w:rFonts w:hint="eastAsia" w:eastAsia="仿宋_GB2312"/>
          <w:sz w:val="32"/>
          <w:szCs w:val="32"/>
          <w:lang w:val="en-US" w:eastAsia="zh-CN"/>
        </w:rPr>
        <w:t>武汉东湖新技术开发区市场监督管理局</w:t>
      </w:r>
    </w:p>
    <w:p>
      <w:pPr>
        <w:keepNext w:val="0"/>
        <w:keepLines w:val="0"/>
        <w:pageBreakBefore w:val="0"/>
        <w:widowControl w:val="0"/>
        <w:kinsoku/>
        <w:wordWrap w:val="0"/>
        <w:overflowPunct/>
        <w:topLinePunct w:val="0"/>
        <w:autoSpaceDE/>
        <w:autoSpaceDN/>
        <w:bidi w:val="0"/>
        <w:adjustRightInd/>
        <w:snapToGrid/>
        <w:spacing w:line="560" w:lineRule="exact"/>
        <w:ind w:firstLine="4160" w:firstLineChars="1300"/>
        <w:jc w:val="both"/>
        <w:textAlignment w:val="auto"/>
        <w:outlineLvl w:val="9"/>
        <w:rPr>
          <w:rFonts w:hint="default" w:eastAsia="仿宋_GB2312"/>
          <w:sz w:val="32"/>
          <w:szCs w:val="32"/>
          <w:lang w:val="en-US" w:eastAsia="zh-CN"/>
        </w:rPr>
      </w:pPr>
      <w:r>
        <w:rPr>
          <w:rFonts w:hint="eastAsia" w:eastAsia="仿宋_GB2312"/>
          <w:sz w:val="32"/>
          <w:szCs w:val="32"/>
          <w:lang w:val="en-US" w:eastAsia="zh-CN"/>
        </w:rPr>
        <w:t>20</w:t>
      </w:r>
      <w:bookmarkStart w:id="2" w:name="_GoBack"/>
      <w:bookmarkEnd w:id="2"/>
      <w:r>
        <w:rPr>
          <w:rFonts w:hint="eastAsia" w:eastAsia="仿宋_GB2312"/>
          <w:sz w:val="32"/>
          <w:szCs w:val="32"/>
          <w:lang w:val="en-US" w:eastAsia="zh-CN"/>
        </w:rPr>
        <w:t>26</w:t>
      </w:r>
      <w:r>
        <w:rPr>
          <w:rFonts w:hint="default" w:eastAsia="仿宋_GB2312"/>
          <w:sz w:val="32"/>
          <w:szCs w:val="32"/>
          <w:lang w:val="en-US" w:eastAsia="zh-CN"/>
        </w:rPr>
        <w:t>年</w:t>
      </w:r>
      <w:r>
        <w:rPr>
          <w:rFonts w:hint="eastAsia" w:eastAsia="仿宋_GB2312"/>
          <w:sz w:val="32"/>
          <w:szCs w:val="32"/>
          <w:lang w:val="en-US" w:eastAsia="zh-CN"/>
        </w:rPr>
        <w:t>8</w:t>
      </w:r>
      <w:r>
        <w:rPr>
          <w:rFonts w:hint="default" w:eastAsia="仿宋_GB2312"/>
          <w:sz w:val="32"/>
          <w:szCs w:val="32"/>
          <w:lang w:val="en-US" w:eastAsia="zh-CN"/>
        </w:rPr>
        <w:t>月</w:t>
      </w:r>
      <w:r>
        <w:rPr>
          <w:rFonts w:hint="eastAsia" w:eastAsia="仿宋_GB2312"/>
          <w:sz w:val="32"/>
          <w:szCs w:val="32"/>
          <w:lang w:val="en-US" w:eastAsia="zh-CN"/>
        </w:rPr>
        <w:t>12</w:t>
      </w:r>
      <w:r>
        <w:rPr>
          <w:rFonts w:hint="default" w:eastAsia="仿宋_GB2312"/>
          <w:sz w:val="32"/>
          <w:szCs w:val="32"/>
          <w:lang w:val="en-US" w:eastAsia="zh-CN"/>
        </w:rPr>
        <w:t>日</w:t>
      </w:r>
      <w:r>
        <w:rPr>
          <w:rFonts w:hint="eastAsia" w:eastAsia="仿宋_GB2312"/>
          <w:sz w:val="32"/>
          <w:szCs w:val="32"/>
          <w:lang w:val="en-US" w:eastAsia="zh-CN"/>
        </w:rPr>
        <w:t xml:space="preserve">     </w:t>
      </w:r>
    </w:p>
    <w:sectPr>
      <w:footerReference r:id="rId3" w:type="default"/>
      <w:footerReference r:id="rId4" w:type="even"/>
      <w:pgSz w:w="11906" w:h="16838"/>
      <w:pgMar w:top="1440" w:right="1800" w:bottom="1440" w:left="1800" w:header="851" w:footer="124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sz w:val="28"/>
        <w:szCs w:val="28"/>
      </w:rPr>
    </w:pP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611A"/>
    <w:rsid w:val="00AD4FF7"/>
    <w:rsid w:val="00EC010F"/>
    <w:rsid w:val="012E3A44"/>
    <w:rsid w:val="01F621E6"/>
    <w:rsid w:val="022848C5"/>
    <w:rsid w:val="02D941AB"/>
    <w:rsid w:val="03195FD7"/>
    <w:rsid w:val="031A2C9A"/>
    <w:rsid w:val="032C69D5"/>
    <w:rsid w:val="037B2D94"/>
    <w:rsid w:val="03A36F29"/>
    <w:rsid w:val="03C858EE"/>
    <w:rsid w:val="03D91B06"/>
    <w:rsid w:val="043C5FE1"/>
    <w:rsid w:val="049322AC"/>
    <w:rsid w:val="0502527B"/>
    <w:rsid w:val="05BC06BC"/>
    <w:rsid w:val="05E42A13"/>
    <w:rsid w:val="05F91121"/>
    <w:rsid w:val="06245964"/>
    <w:rsid w:val="06A42B48"/>
    <w:rsid w:val="06A7211B"/>
    <w:rsid w:val="06B27233"/>
    <w:rsid w:val="06CB31C5"/>
    <w:rsid w:val="06D363B8"/>
    <w:rsid w:val="06E76DB9"/>
    <w:rsid w:val="0733359A"/>
    <w:rsid w:val="07862CB6"/>
    <w:rsid w:val="07883506"/>
    <w:rsid w:val="079414C1"/>
    <w:rsid w:val="07F20132"/>
    <w:rsid w:val="08543D87"/>
    <w:rsid w:val="08602BA8"/>
    <w:rsid w:val="08FA46E1"/>
    <w:rsid w:val="09C70100"/>
    <w:rsid w:val="09E76206"/>
    <w:rsid w:val="09F105B3"/>
    <w:rsid w:val="0A0D17E8"/>
    <w:rsid w:val="0A2819F5"/>
    <w:rsid w:val="0A910564"/>
    <w:rsid w:val="0AAD2736"/>
    <w:rsid w:val="0AFE3BC3"/>
    <w:rsid w:val="0BE00729"/>
    <w:rsid w:val="0BE63BCF"/>
    <w:rsid w:val="0C015D7D"/>
    <w:rsid w:val="0C660740"/>
    <w:rsid w:val="0CD27E67"/>
    <w:rsid w:val="0D7231BC"/>
    <w:rsid w:val="0DBB3146"/>
    <w:rsid w:val="0E3623AE"/>
    <w:rsid w:val="0E562FC0"/>
    <w:rsid w:val="0E762F46"/>
    <w:rsid w:val="0EFE518C"/>
    <w:rsid w:val="0F812DD5"/>
    <w:rsid w:val="0F844CC6"/>
    <w:rsid w:val="0FC4221B"/>
    <w:rsid w:val="0FEA5B0F"/>
    <w:rsid w:val="0FFD229E"/>
    <w:rsid w:val="1078223F"/>
    <w:rsid w:val="10B26BF4"/>
    <w:rsid w:val="11EE54F1"/>
    <w:rsid w:val="11FA1E15"/>
    <w:rsid w:val="134F34A6"/>
    <w:rsid w:val="13802757"/>
    <w:rsid w:val="1391711A"/>
    <w:rsid w:val="13AD648F"/>
    <w:rsid w:val="141D2C86"/>
    <w:rsid w:val="1428264A"/>
    <w:rsid w:val="148215ED"/>
    <w:rsid w:val="14D85C78"/>
    <w:rsid w:val="151128EB"/>
    <w:rsid w:val="154E1950"/>
    <w:rsid w:val="158F59EA"/>
    <w:rsid w:val="15C50DAE"/>
    <w:rsid w:val="16AB2FDC"/>
    <w:rsid w:val="16B06B85"/>
    <w:rsid w:val="178222B0"/>
    <w:rsid w:val="17D104A9"/>
    <w:rsid w:val="17DD6436"/>
    <w:rsid w:val="18157E41"/>
    <w:rsid w:val="184A0D05"/>
    <w:rsid w:val="185C7C74"/>
    <w:rsid w:val="18611B2B"/>
    <w:rsid w:val="18665D95"/>
    <w:rsid w:val="188F7B75"/>
    <w:rsid w:val="18E845C5"/>
    <w:rsid w:val="19295233"/>
    <w:rsid w:val="19C176CF"/>
    <w:rsid w:val="19C66458"/>
    <w:rsid w:val="1A427F7D"/>
    <w:rsid w:val="1AC403E0"/>
    <w:rsid w:val="1AC66F8E"/>
    <w:rsid w:val="1B434036"/>
    <w:rsid w:val="1B4F33EC"/>
    <w:rsid w:val="1B765E75"/>
    <w:rsid w:val="1B8041FD"/>
    <w:rsid w:val="1C4B29B0"/>
    <w:rsid w:val="1C543D53"/>
    <w:rsid w:val="1DCC2190"/>
    <w:rsid w:val="1E0E3CEC"/>
    <w:rsid w:val="1E246A97"/>
    <w:rsid w:val="1E7E1981"/>
    <w:rsid w:val="1F081643"/>
    <w:rsid w:val="1FDA19FB"/>
    <w:rsid w:val="200935DC"/>
    <w:rsid w:val="206814FD"/>
    <w:rsid w:val="20C64A1E"/>
    <w:rsid w:val="20EC2133"/>
    <w:rsid w:val="20FB5C6F"/>
    <w:rsid w:val="21013697"/>
    <w:rsid w:val="2171516D"/>
    <w:rsid w:val="21DA70B8"/>
    <w:rsid w:val="21DF7E38"/>
    <w:rsid w:val="2207452E"/>
    <w:rsid w:val="220F251D"/>
    <w:rsid w:val="22712A2C"/>
    <w:rsid w:val="22977D4A"/>
    <w:rsid w:val="22E938B0"/>
    <w:rsid w:val="22FD3125"/>
    <w:rsid w:val="23727CD0"/>
    <w:rsid w:val="23945A72"/>
    <w:rsid w:val="23DF1901"/>
    <w:rsid w:val="240D6649"/>
    <w:rsid w:val="241B7F15"/>
    <w:rsid w:val="24964711"/>
    <w:rsid w:val="24D859AE"/>
    <w:rsid w:val="24F37810"/>
    <w:rsid w:val="252D6809"/>
    <w:rsid w:val="25485E80"/>
    <w:rsid w:val="259D1595"/>
    <w:rsid w:val="25B146CC"/>
    <w:rsid w:val="25DF6B72"/>
    <w:rsid w:val="263B78CF"/>
    <w:rsid w:val="2644262F"/>
    <w:rsid w:val="26672B42"/>
    <w:rsid w:val="26CF75BA"/>
    <w:rsid w:val="272B0385"/>
    <w:rsid w:val="272F5A50"/>
    <w:rsid w:val="27685E79"/>
    <w:rsid w:val="27B97E8D"/>
    <w:rsid w:val="27CA0CAB"/>
    <w:rsid w:val="28BD5493"/>
    <w:rsid w:val="28E7314A"/>
    <w:rsid w:val="28E750BB"/>
    <w:rsid w:val="290273F3"/>
    <w:rsid w:val="294560D8"/>
    <w:rsid w:val="297F6074"/>
    <w:rsid w:val="29F72AE8"/>
    <w:rsid w:val="2A0B496F"/>
    <w:rsid w:val="2A367E8D"/>
    <w:rsid w:val="2B8F3E3B"/>
    <w:rsid w:val="2BB57F18"/>
    <w:rsid w:val="2BED54AA"/>
    <w:rsid w:val="2C01177C"/>
    <w:rsid w:val="2D9177AD"/>
    <w:rsid w:val="2D98535F"/>
    <w:rsid w:val="2D9A572C"/>
    <w:rsid w:val="2EAA3276"/>
    <w:rsid w:val="2EB96CAB"/>
    <w:rsid w:val="2EBC2C33"/>
    <w:rsid w:val="2F01285B"/>
    <w:rsid w:val="2F5614BD"/>
    <w:rsid w:val="2F64349D"/>
    <w:rsid w:val="2FC709AD"/>
    <w:rsid w:val="2FFF34B3"/>
    <w:rsid w:val="301634AF"/>
    <w:rsid w:val="303B14B7"/>
    <w:rsid w:val="309E0133"/>
    <w:rsid w:val="312F1C8F"/>
    <w:rsid w:val="31410ADB"/>
    <w:rsid w:val="31AE616A"/>
    <w:rsid w:val="320A5E9F"/>
    <w:rsid w:val="322C0E36"/>
    <w:rsid w:val="322E174B"/>
    <w:rsid w:val="32FB7FC6"/>
    <w:rsid w:val="33831552"/>
    <w:rsid w:val="33875743"/>
    <w:rsid w:val="33A743DF"/>
    <w:rsid w:val="33C13BA1"/>
    <w:rsid w:val="344B49FF"/>
    <w:rsid w:val="344C157A"/>
    <w:rsid w:val="34B3770A"/>
    <w:rsid w:val="34FF4367"/>
    <w:rsid w:val="350A0A2B"/>
    <w:rsid w:val="35454ACD"/>
    <w:rsid w:val="35E37025"/>
    <w:rsid w:val="35EA1101"/>
    <w:rsid w:val="35EB0756"/>
    <w:rsid w:val="364C1B57"/>
    <w:rsid w:val="369C0825"/>
    <w:rsid w:val="369E377C"/>
    <w:rsid w:val="36F16073"/>
    <w:rsid w:val="371D20E3"/>
    <w:rsid w:val="373527DC"/>
    <w:rsid w:val="37A40015"/>
    <w:rsid w:val="38181E92"/>
    <w:rsid w:val="385D0C07"/>
    <w:rsid w:val="38645639"/>
    <w:rsid w:val="38CC5375"/>
    <w:rsid w:val="3A146709"/>
    <w:rsid w:val="3A1B20DA"/>
    <w:rsid w:val="3A200389"/>
    <w:rsid w:val="3A6C0903"/>
    <w:rsid w:val="3AD51DDA"/>
    <w:rsid w:val="3AF60AFB"/>
    <w:rsid w:val="3AFA5077"/>
    <w:rsid w:val="3B7031B2"/>
    <w:rsid w:val="3B770B56"/>
    <w:rsid w:val="3BC1660B"/>
    <w:rsid w:val="3C2E2361"/>
    <w:rsid w:val="3D005A45"/>
    <w:rsid w:val="3D4E4434"/>
    <w:rsid w:val="3D5C0252"/>
    <w:rsid w:val="3DD75AE4"/>
    <w:rsid w:val="3DE752B1"/>
    <w:rsid w:val="3E5962C4"/>
    <w:rsid w:val="3E757063"/>
    <w:rsid w:val="3F0A0E39"/>
    <w:rsid w:val="3F0F1D3C"/>
    <w:rsid w:val="3F307160"/>
    <w:rsid w:val="4031098C"/>
    <w:rsid w:val="40704606"/>
    <w:rsid w:val="40821F36"/>
    <w:rsid w:val="40976185"/>
    <w:rsid w:val="412E4291"/>
    <w:rsid w:val="41366633"/>
    <w:rsid w:val="41D5249F"/>
    <w:rsid w:val="4255407F"/>
    <w:rsid w:val="425E7D06"/>
    <w:rsid w:val="42D9657C"/>
    <w:rsid w:val="43556616"/>
    <w:rsid w:val="43715E3A"/>
    <w:rsid w:val="43747872"/>
    <w:rsid w:val="43A268DE"/>
    <w:rsid w:val="43B81F37"/>
    <w:rsid w:val="43BB469E"/>
    <w:rsid w:val="43E81139"/>
    <w:rsid w:val="43FD30EB"/>
    <w:rsid w:val="4432385F"/>
    <w:rsid w:val="443959B8"/>
    <w:rsid w:val="446A4392"/>
    <w:rsid w:val="44994BFE"/>
    <w:rsid w:val="449F59C6"/>
    <w:rsid w:val="44B40832"/>
    <w:rsid w:val="450822D5"/>
    <w:rsid w:val="452C1738"/>
    <w:rsid w:val="459D3BAC"/>
    <w:rsid w:val="45B15B6F"/>
    <w:rsid w:val="45C70991"/>
    <w:rsid w:val="46063600"/>
    <w:rsid w:val="46FE04A5"/>
    <w:rsid w:val="47413D83"/>
    <w:rsid w:val="47E23EBB"/>
    <w:rsid w:val="484375F2"/>
    <w:rsid w:val="48FE6C6E"/>
    <w:rsid w:val="4932086F"/>
    <w:rsid w:val="496804C3"/>
    <w:rsid w:val="49B33B65"/>
    <w:rsid w:val="49BE5F57"/>
    <w:rsid w:val="49D55CCC"/>
    <w:rsid w:val="4A092CEE"/>
    <w:rsid w:val="4A0F4C6E"/>
    <w:rsid w:val="4B171876"/>
    <w:rsid w:val="4B2D3BB3"/>
    <w:rsid w:val="4B7F2071"/>
    <w:rsid w:val="4B9F45FB"/>
    <w:rsid w:val="4C0A2CAF"/>
    <w:rsid w:val="4CAD3BFC"/>
    <w:rsid w:val="4CB2749C"/>
    <w:rsid w:val="4CF36C10"/>
    <w:rsid w:val="4D3F3966"/>
    <w:rsid w:val="4D6449EC"/>
    <w:rsid w:val="4D714B56"/>
    <w:rsid w:val="4DB869DC"/>
    <w:rsid w:val="4E8A3567"/>
    <w:rsid w:val="4EBB20E8"/>
    <w:rsid w:val="4ED6150F"/>
    <w:rsid w:val="4EF87A84"/>
    <w:rsid w:val="4F0C246E"/>
    <w:rsid w:val="4F27768C"/>
    <w:rsid w:val="4F320217"/>
    <w:rsid w:val="4F5B2592"/>
    <w:rsid w:val="4FCA59F0"/>
    <w:rsid w:val="501A2DA6"/>
    <w:rsid w:val="50206532"/>
    <w:rsid w:val="507913AF"/>
    <w:rsid w:val="50D52FBA"/>
    <w:rsid w:val="50E922F5"/>
    <w:rsid w:val="512C3BED"/>
    <w:rsid w:val="51535D1B"/>
    <w:rsid w:val="51C163D9"/>
    <w:rsid w:val="527049F9"/>
    <w:rsid w:val="52A54EA1"/>
    <w:rsid w:val="536C718F"/>
    <w:rsid w:val="53751EBA"/>
    <w:rsid w:val="53857FDF"/>
    <w:rsid w:val="539109E9"/>
    <w:rsid w:val="54182D6F"/>
    <w:rsid w:val="543B65E6"/>
    <w:rsid w:val="544C19ED"/>
    <w:rsid w:val="544D66DA"/>
    <w:rsid w:val="54987538"/>
    <w:rsid w:val="54CA7311"/>
    <w:rsid w:val="55F4617B"/>
    <w:rsid w:val="56C22E2C"/>
    <w:rsid w:val="56FB56AD"/>
    <w:rsid w:val="57BF307B"/>
    <w:rsid w:val="59184D5F"/>
    <w:rsid w:val="591B75F7"/>
    <w:rsid w:val="5945486B"/>
    <w:rsid w:val="59802FCB"/>
    <w:rsid w:val="5A087442"/>
    <w:rsid w:val="5A701228"/>
    <w:rsid w:val="5A736A40"/>
    <w:rsid w:val="5A946F21"/>
    <w:rsid w:val="5A9D7A40"/>
    <w:rsid w:val="5AE87E3F"/>
    <w:rsid w:val="5B156D38"/>
    <w:rsid w:val="5B282F95"/>
    <w:rsid w:val="5B702303"/>
    <w:rsid w:val="5B7511E7"/>
    <w:rsid w:val="5BC3356E"/>
    <w:rsid w:val="5BE85778"/>
    <w:rsid w:val="5C282774"/>
    <w:rsid w:val="5CED2007"/>
    <w:rsid w:val="5D082CDF"/>
    <w:rsid w:val="5DAC617B"/>
    <w:rsid w:val="5DB73809"/>
    <w:rsid w:val="5DE867AE"/>
    <w:rsid w:val="5E0C1D7C"/>
    <w:rsid w:val="5E681116"/>
    <w:rsid w:val="5ED86461"/>
    <w:rsid w:val="5EFE71D2"/>
    <w:rsid w:val="5F0F0FBD"/>
    <w:rsid w:val="5F1F592B"/>
    <w:rsid w:val="5F5E2CAF"/>
    <w:rsid w:val="5F726AFE"/>
    <w:rsid w:val="5FA540A4"/>
    <w:rsid w:val="5FC9335B"/>
    <w:rsid w:val="5FDE5B8E"/>
    <w:rsid w:val="5FE2657B"/>
    <w:rsid w:val="601F638E"/>
    <w:rsid w:val="60B078BF"/>
    <w:rsid w:val="60E2206D"/>
    <w:rsid w:val="610D1C2D"/>
    <w:rsid w:val="613A2E11"/>
    <w:rsid w:val="61AF38AA"/>
    <w:rsid w:val="61EB6FE8"/>
    <w:rsid w:val="621A2951"/>
    <w:rsid w:val="62210286"/>
    <w:rsid w:val="62754A86"/>
    <w:rsid w:val="627F35C8"/>
    <w:rsid w:val="62A941BD"/>
    <w:rsid w:val="62A97E1E"/>
    <w:rsid w:val="62FD704B"/>
    <w:rsid w:val="63B77699"/>
    <w:rsid w:val="63B84723"/>
    <w:rsid w:val="63F2579A"/>
    <w:rsid w:val="649A72EB"/>
    <w:rsid w:val="64BA1A0D"/>
    <w:rsid w:val="64CF125C"/>
    <w:rsid w:val="657764EA"/>
    <w:rsid w:val="65A65B15"/>
    <w:rsid w:val="65C46D71"/>
    <w:rsid w:val="65D74FB3"/>
    <w:rsid w:val="65F50571"/>
    <w:rsid w:val="66050144"/>
    <w:rsid w:val="661831AB"/>
    <w:rsid w:val="66483949"/>
    <w:rsid w:val="664A660B"/>
    <w:rsid w:val="66637A7C"/>
    <w:rsid w:val="668D6B97"/>
    <w:rsid w:val="672E6FB2"/>
    <w:rsid w:val="679276B1"/>
    <w:rsid w:val="67FE6C38"/>
    <w:rsid w:val="68472ABA"/>
    <w:rsid w:val="68BF2D88"/>
    <w:rsid w:val="69133681"/>
    <w:rsid w:val="692348B6"/>
    <w:rsid w:val="69761A44"/>
    <w:rsid w:val="69B81DD1"/>
    <w:rsid w:val="69CB2E9E"/>
    <w:rsid w:val="69E043F6"/>
    <w:rsid w:val="6A6B401A"/>
    <w:rsid w:val="6A710E26"/>
    <w:rsid w:val="6A9C5112"/>
    <w:rsid w:val="6AA063F4"/>
    <w:rsid w:val="6AED2300"/>
    <w:rsid w:val="6B2E6296"/>
    <w:rsid w:val="6B425AF6"/>
    <w:rsid w:val="6B5253E6"/>
    <w:rsid w:val="6B78426C"/>
    <w:rsid w:val="6BB00A49"/>
    <w:rsid w:val="6C2975FB"/>
    <w:rsid w:val="6C4E1DC6"/>
    <w:rsid w:val="6C8115A7"/>
    <w:rsid w:val="6CA45E51"/>
    <w:rsid w:val="6CE23C89"/>
    <w:rsid w:val="6CFD7B2E"/>
    <w:rsid w:val="6D5676EC"/>
    <w:rsid w:val="6E4D4A90"/>
    <w:rsid w:val="6EB14834"/>
    <w:rsid w:val="6EC167E8"/>
    <w:rsid w:val="6F583F5A"/>
    <w:rsid w:val="6F7B7803"/>
    <w:rsid w:val="6F9852B0"/>
    <w:rsid w:val="700E3121"/>
    <w:rsid w:val="70F42CBC"/>
    <w:rsid w:val="7184039E"/>
    <w:rsid w:val="71D67EA4"/>
    <w:rsid w:val="71E421CB"/>
    <w:rsid w:val="72351068"/>
    <w:rsid w:val="726807DE"/>
    <w:rsid w:val="726D5F54"/>
    <w:rsid w:val="72803949"/>
    <w:rsid w:val="72DC770E"/>
    <w:rsid w:val="73C53520"/>
    <w:rsid w:val="73EB0E3A"/>
    <w:rsid w:val="745831D2"/>
    <w:rsid w:val="747A53D7"/>
    <w:rsid w:val="74944BF7"/>
    <w:rsid w:val="751355EF"/>
    <w:rsid w:val="7557659C"/>
    <w:rsid w:val="75892F76"/>
    <w:rsid w:val="759954FE"/>
    <w:rsid w:val="75AD6A4E"/>
    <w:rsid w:val="75FC2282"/>
    <w:rsid w:val="7646766A"/>
    <w:rsid w:val="76BB7341"/>
    <w:rsid w:val="76C70360"/>
    <w:rsid w:val="772C3F02"/>
    <w:rsid w:val="77303BDE"/>
    <w:rsid w:val="77502C87"/>
    <w:rsid w:val="775B2DBD"/>
    <w:rsid w:val="77B3133E"/>
    <w:rsid w:val="78212FBB"/>
    <w:rsid w:val="785D5F68"/>
    <w:rsid w:val="78953164"/>
    <w:rsid w:val="78E148C6"/>
    <w:rsid w:val="78F410AA"/>
    <w:rsid w:val="7905538F"/>
    <w:rsid w:val="793F6AEA"/>
    <w:rsid w:val="797C2F4C"/>
    <w:rsid w:val="798833E0"/>
    <w:rsid w:val="79914FB2"/>
    <w:rsid w:val="79BF118C"/>
    <w:rsid w:val="79E5652D"/>
    <w:rsid w:val="7A0803AC"/>
    <w:rsid w:val="7A0B546E"/>
    <w:rsid w:val="7B5D411E"/>
    <w:rsid w:val="7BE744BE"/>
    <w:rsid w:val="7BE8031C"/>
    <w:rsid w:val="7C3B7D69"/>
    <w:rsid w:val="7D111FAE"/>
    <w:rsid w:val="7D186EC0"/>
    <w:rsid w:val="7D817463"/>
    <w:rsid w:val="7DC71A4D"/>
    <w:rsid w:val="7DE7687B"/>
    <w:rsid w:val="7E1E409F"/>
    <w:rsid w:val="7E925178"/>
    <w:rsid w:val="7F147FF6"/>
    <w:rsid w:val="7F2D320B"/>
    <w:rsid w:val="7F5062A2"/>
    <w:rsid w:val="7F677D87"/>
    <w:rsid w:val="7F9474B0"/>
    <w:rsid w:val="7F975CA2"/>
    <w:rsid w:val="7FA73631"/>
    <w:rsid w:val="7FCF7E97"/>
    <w:rsid w:val="7FF41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Body Text Indent"/>
    <w:basedOn w:val="1"/>
    <w:qFormat/>
    <w:uiPriority w:val="0"/>
    <w:pPr>
      <w:ind w:left="6" w:hanging="2"/>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特发</cp:lastModifiedBy>
  <cp:lastPrinted>2026-08-12T06:46:00Z</cp:lastPrinted>
  <dcterms:modified xsi:type="dcterms:W3CDTF">2026-08-12T06:54:30Z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